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B5" w:rsidRDefault="006B3FB5" w:rsidP="006B3FB5">
      <w:pPr>
        <w:spacing w:after="0" w:line="0" w:lineRule="atLeast"/>
        <w:outlineLvl w:val="0"/>
        <w:rPr>
          <w:rFonts w:ascii="Arial" w:eastAsia="Times New Roman" w:hAnsi="Arial" w:cs="Arial"/>
          <w:caps/>
          <w:color w:val="111111"/>
          <w:kern w:val="36"/>
          <w:sz w:val="32"/>
          <w:szCs w:val="32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C5D3229" wp14:editId="107B0655">
            <wp:extent cx="2586355" cy="859790"/>
            <wp:effectExtent l="0" t="0" r="4445" b="0"/>
            <wp:docPr id="1" name="Immagine 1" descr="Logo Market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ket Ins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B5" w:rsidRDefault="006B3FB5" w:rsidP="006B3FB5">
      <w:pPr>
        <w:spacing w:after="0" w:line="0" w:lineRule="atLeast"/>
        <w:outlineLvl w:val="0"/>
        <w:rPr>
          <w:rFonts w:ascii="Arial" w:eastAsia="Times New Roman" w:hAnsi="Arial" w:cs="Arial"/>
          <w:caps/>
          <w:color w:val="111111"/>
          <w:kern w:val="36"/>
          <w:sz w:val="32"/>
          <w:szCs w:val="32"/>
          <w:lang w:eastAsia="it-IT"/>
        </w:rPr>
      </w:pPr>
    </w:p>
    <w:p w:rsidR="006B3FB5" w:rsidRPr="006B3FB5" w:rsidRDefault="006B3FB5" w:rsidP="006B3FB5">
      <w:pPr>
        <w:spacing w:after="0" w:line="0" w:lineRule="atLeast"/>
        <w:outlineLvl w:val="0"/>
        <w:rPr>
          <w:rFonts w:ascii="Arial" w:eastAsia="Times New Roman" w:hAnsi="Arial" w:cs="Arial"/>
          <w:caps/>
          <w:color w:val="111111"/>
          <w:kern w:val="36"/>
          <w:sz w:val="32"/>
          <w:szCs w:val="32"/>
          <w:lang w:eastAsia="it-IT"/>
        </w:rPr>
      </w:pPr>
      <w:r w:rsidRPr="006B3FB5">
        <w:rPr>
          <w:rFonts w:ascii="Arial" w:eastAsia="Times New Roman" w:hAnsi="Arial" w:cs="Arial"/>
          <w:caps/>
          <w:color w:val="111111"/>
          <w:kern w:val="36"/>
          <w:sz w:val="32"/>
          <w:szCs w:val="32"/>
          <w:lang w:eastAsia="it-IT"/>
        </w:rPr>
        <w:t>AIM (+2,8%) – BRILLA ES</w:t>
      </w:r>
      <w:r>
        <w:rPr>
          <w:rFonts w:ascii="Arial" w:eastAsia="Times New Roman" w:hAnsi="Arial" w:cs="Arial"/>
          <w:caps/>
          <w:color w:val="111111"/>
          <w:kern w:val="36"/>
          <w:sz w:val="32"/>
          <w:szCs w:val="32"/>
          <w:lang w:eastAsia="it-IT"/>
        </w:rPr>
        <w:t xml:space="preserve">AUTOMOTION (+44,9%) NELL’ULTIMA </w:t>
      </w:r>
      <w:r w:rsidRPr="006B3FB5">
        <w:rPr>
          <w:rFonts w:ascii="Arial" w:eastAsia="Times New Roman" w:hAnsi="Arial" w:cs="Arial"/>
          <w:caps/>
          <w:color w:val="111111"/>
          <w:kern w:val="36"/>
          <w:sz w:val="32"/>
          <w:szCs w:val="32"/>
          <w:lang w:eastAsia="it-IT"/>
        </w:rPr>
        <w:t>SETTIMANA</w:t>
      </w:r>
    </w:p>
    <w:p w:rsidR="006B3FB5" w:rsidRDefault="006B3FB5" w:rsidP="006B3FB5">
      <w:pPr>
        <w:spacing w:line="240" w:lineRule="auto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</w:p>
    <w:p w:rsidR="006B3FB5" w:rsidRPr="006B3FB5" w:rsidRDefault="006B3FB5" w:rsidP="006B3FB5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6B3FB5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11/01/2021 7:34</w:t>
      </w:r>
    </w:p>
    <w:p w:rsidR="006B3FB5" w:rsidRPr="006B3FB5" w:rsidRDefault="006B3FB5" w:rsidP="006B3FB5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Nelle sedute dal 4 all’8 gennaio il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Ftse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Aim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Italia ha guadagnato il 2,8% rispetto al +1,6% del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London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Ftse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Aim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100 e al +1,9% del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London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Ftse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Aim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All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Share.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Nella prima settimana dell’anno nuovo l’attenzione si è concentrata prevalentemente sulla vittoria di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Biden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 la conquista del Senato da parte dei Democratici, che ha alimentato le prospettive di nuovi stimoli fiscali spingendo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Wall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Street sui massimi.</w:t>
      </w:r>
    </w:p>
    <w:p w:rsidR="006B3FB5" w:rsidRPr="006B3FB5" w:rsidRDefault="006B3FB5" w:rsidP="006B3FB5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Sullo sfondo restano i timori per la pandemia e le speranze legate ai vaccini, mentre dall’agenda macro è giunto il job report Usa, che ha evidenziato una perdita di posti di lavoro per la prima volta da 8 mesi.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Tornando all’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Aim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in settimana brilla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Esautomotion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(+44,9%), portando la performance dell’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utlimo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mese a +56,5%. Bene anche Convergenze (+31%) e Vimi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Fasteners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(+37,9%).</w:t>
      </w:r>
    </w:p>
    <w:p w:rsidR="006B3FB5" w:rsidRDefault="006B3FB5" w:rsidP="006B3FB5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In spolvero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Sciuker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Frames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(+10,1%) che, attraverso la controllata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Ecospace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ha siglato il ventesimo </w:t>
      </w:r>
      <w:hyperlink r:id="rId5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contratto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 d’appalto del valore complessivo di 1,7 milioni per </w:t>
      </w:r>
      <w:proofErr w:type="gram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l’esecuzione</w:t>
      </w:r>
      <w:proofErr w:type="gram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dei lavori di riqualificazione energetica di un nuovo complesso residenziale.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</w:p>
    <w:p w:rsidR="006B3FB5" w:rsidRPr="006B3FB5" w:rsidRDefault="006B3FB5" w:rsidP="006B3FB5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Di seguito alcune delle principali notizie sulle altre società dell’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Aim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Expert.ai ha stipulato un </w:t>
      </w:r>
      <w:hyperlink r:id="rId6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accordo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con HX, proseguendo il consolidamento a livello internazionale e nel mercato assicurativo.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Digital360 ha reso noto che nel secondo periodo per l’esercizio delle </w:t>
      </w:r>
      <w:hyperlink r:id="rId7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obbligazioni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convertibili sono state sottoscritte 51.000 azioni di compendio.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In relazione agli </w:t>
      </w:r>
      <w:hyperlink r:id="rId8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SFP DM 2020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Digital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Magics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ha reso noto che al 31 dicembre 2020 risultano sottoscritti complessivamente 3.157 SFP DM 2020 (pari al 79% dell’offerta complessiva), per un controvalore di 1.578.500 euro.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Antares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Vision ha avviato un </w:t>
      </w:r>
      <w:hyperlink r:id="rId9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programma di acquisto azioni proprie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fino a un controvalore massimo di 3 milioni, da eseguirsi entro il 30 aprile 2021.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Kolinpharma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in occasione della Virtual Convention 2021, ha </w:t>
      </w:r>
      <w:hyperlink r:id="rId10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lanciato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DOLATROX HCC e annunciato l’ingresso di 33 nuovi Informatori Medico Scientifici.</w:t>
      </w:r>
    </w:p>
    <w:p w:rsidR="006B3FB5" w:rsidRPr="006B3FB5" w:rsidRDefault="006B3FB5" w:rsidP="006B3FB5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 xml:space="preserve">Con riferimento all’aumento di capitale di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Fenix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 un primario investitore professionale ha </w:t>
      </w:r>
      <w:hyperlink r:id="rId11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sottoscritto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161.250 azioni al prezzo di 4,30 euro per un controvalore di 693,4 mila euro.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Il Cda di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Italian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Wine Brands ha (IWB) approvato la proposta di distribuzione di un </w:t>
      </w:r>
      <w:hyperlink r:id="rId12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dividendo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ordinario integrativo di 0,40 euro per ciascuna azione che ne avrà diritto.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UnipolSai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ha </w:t>
      </w:r>
      <w:hyperlink r:id="rId13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lang w:eastAsia="it-IT"/>
          </w:rPr>
          <w:t>superato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il 5% del capitale in Iervolino Entertainment.</w:t>
      </w:r>
    </w:p>
    <w:p w:rsidR="006B3FB5" w:rsidRPr="006B3FB5" w:rsidRDefault="006B3FB5" w:rsidP="006B3FB5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6B3FB5">
        <w:rPr>
          <w:rFonts w:ascii="Verdana" w:eastAsia="Times New Roman" w:hAnsi="Verdana" w:cs="Times New Roman"/>
          <w:color w:val="222222"/>
          <w:sz w:val="23"/>
          <w:szCs w:val="23"/>
          <w:highlight w:val="yellow"/>
          <w:lang w:eastAsia="it-IT"/>
        </w:rPr>
        <w:t xml:space="preserve">Igeam, società a capo del Gruppo Igeam, del quale fa parte anche Igeamed, recentemente quotata sul segmento 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highlight w:val="yellow"/>
          <w:lang w:eastAsia="it-IT"/>
        </w:rPr>
        <w:t>Aim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highlight w:val="yellow"/>
          <w:lang w:eastAsia="it-IT"/>
        </w:rPr>
        <w:t xml:space="preserve"> Pro di Borsa Italiana, ha concluso </w:t>
      </w:r>
      <w:hyperlink r:id="rId14" w:history="1">
        <w:r w:rsidRPr="006B3FB5">
          <w:rPr>
            <w:rFonts w:ascii="Verdana" w:eastAsia="Times New Roman" w:hAnsi="Verdana" w:cs="Times New Roman"/>
            <w:color w:val="F96850"/>
            <w:sz w:val="23"/>
            <w:szCs w:val="23"/>
            <w:highlight w:val="yellow"/>
            <w:lang w:eastAsia="it-IT"/>
          </w:rPr>
          <w:t>l’acquisizione</w:t>
        </w:r>
      </w:hyperlink>
      <w:r w:rsidRPr="006B3FB5">
        <w:rPr>
          <w:rFonts w:ascii="Verdana" w:eastAsia="Times New Roman" w:hAnsi="Verdana" w:cs="Times New Roman"/>
          <w:color w:val="222222"/>
          <w:sz w:val="23"/>
          <w:szCs w:val="23"/>
          <w:highlight w:val="yellow"/>
          <w:lang w:eastAsia="it-IT"/>
        </w:rPr>
        <w:t> di &amp;</w:t>
      </w:r>
      <w:proofErr w:type="spellStart"/>
      <w:r w:rsidRPr="006B3FB5">
        <w:rPr>
          <w:rFonts w:ascii="Verdana" w:eastAsia="Times New Roman" w:hAnsi="Verdana" w:cs="Times New Roman"/>
          <w:color w:val="222222"/>
          <w:sz w:val="23"/>
          <w:szCs w:val="23"/>
          <w:highlight w:val="yellow"/>
          <w:lang w:eastAsia="it-IT"/>
        </w:rPr>
        <w:t>PoiMedica</w:t>
      </w:r>
      <w:proofErr w:type="spellEnd"/>
      <w:r w:rsidRPr="006B3FB5">
        <w:rPr>
          <w:rFonts w:ascii="Verdana" w:eastAsia="Times New Roman" w:hAnsi="Verdana" w:cs="Times New Roman"/>
          <w:color w:val="222222"/>
          <w:sz w:val="23"/>
          <w:szCs w:val="23"/>
          <w:highlight w:val="yellow"/>
          <w:lang w:eastAsia="it-IT"/>
        </w:rPr>
        <w:t>, impresa veneziana attiva nei servizi sanitari per le imprese.</w:t>
      </w:r>
    </w:p>
    <w:p w:rsidR="005E3BC6" w:rsidRDefault="005E3BC6"/>
    <w:sectPr w:rsidR="005E3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B5"/>
    <w:rsid w:val="005E3BC6"/>
    <w:rsid w:val="005F7DE9"/>
    <w:rsid w:val="006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8E2A-E5C6-4BF6-AE7C-2666A5FF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80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sight.it/2021/01/05/digital-magics-aim-raccolta-da-sfp-dm-2020-sale-a-158-mln-collocamento-fino-al-31-gennaio/" TargetMode="External"/><Relationship Id="rId13" Type="http://schemas.openxmlformats.org/officeDocument/2006/relationships/hyperlink" Target="https://marketinsight.it/2021/01/06/iervolino-entertainment-aim-unipolsai-supera-il-5-del-capit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rketinsight.it/2021/01/05/digital360-aim-51mila-azioni-sottoscritte-nel-secondo-periodo-di-conversione-del-poc/" TargetMode="External"/><Relationship Id="rId12" Type="http://schemas.openxmlformats.org/officeDocument/2006/relationships/hyperlink" Target="https://marketinsight.it/2021/01/05/italian-wine-brands-aim-ok-del-cda-a-dividendo-ordinario-integrativo-di-040-eur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rketinsight.it/2021/01/07/expert-system-aim-prosegue-consolidamento-a-livello-internazionale-e-nel-mercato-assicurativo/" TargetMode="External"/><Relationship Id="rId11" Type="http://schemas.openxmlformats.org/officeDocument/2006/relationships/hyperlink" Target="https://marketinsight.it/2021/01/04/fenix-entertainment-aim-pro-primario-investitore-sottoscrive-aumento-per-6934-mila-euro/" TargetMode="External"/><Relationship Id="rId5" Type="http://schemas.openxmlformats.org/officeDocument/2006/relationships/hyperlink" Target="https://marketinsight.it/2021/01/07/sciuker-frames-aim-ecospace-sigla-20esimo-contratto-dappalto-da-17-ml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rketinsight.it/2021/01/04/kolinpharma-aim-lancia-primo-dispositivo-medico-dolatrox-hcc-e-amplia-rete-im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rketinsight.it/2021/01/04/antares-vision-aim-avvia-programma-acquisto-azioni-proprie/" TargetMode="External"/><Relationship Id="rId14" Type="http://schemas.openxmlformats.org/officeDocument/2006/relationships/hyperlink" Target="https://marketinsight.it/2021/01/08/igeamed-aim-pro-igeam-acquista-poimedica-per-900mila-eu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Macario</dc:creator>
  <cp:lastModifiedBy>Di Stefano Antonio</cp:lastModifiedBy>
  <cp:revision>2</cp:revision>
  <dcterms:created xsi:type="dcterms:W3CDTF">2021-01-14T10:32:00Z</dcterms:created>
  <dcterms:modified xsi:type="dcterms:W3CDTF">2021-01-14T10:32:00Z</dcterms:modified>
</cp:coreProperties>
</file>